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B7B10" w14:textId="407E9901" w:rsidR="00553DEE" w:rsidRPr="00D26293" w:rsidRDefault="00553DEE" w:rsidP="00CA595D">
      <w:pPr>
        <w:jc w:val="center"/>
        <w:rPr>
          <w:sz w:val="24"/>
          <w:szCs w:val="24"/>
        </w:rPr>
      </w:pPr>
      <w:r w:rsidRPr="00D26293">
        <w:rPr>
          <w:sz w:val="24"/>
          <w:szCs w:val="24"/>
        </w:rPr>
        <w:t xml:space="preserve">Individualized </w:t>
      </w:r>
      <w:r w:rsidR="00671127" w:rsidRPr="00D26293">
        <w:rPr>
          <w:sz w:val="24"/>
          <w:szCs w:val="24"/>
        </w:rPr>
        <w:t>Major</w:t>
      </w:r>
      <w:r w:rsidR="00D05EF3" w:rsidRPr="00D26293">
        <w:rPr>
          <w:sz w:val="24"/>
          <w:szCs w:val="24"/>
        </w:rPr>
        <w:t xml:space="preserve"> Course Suggestions </w:t>
      </w:r>
      <w:r w:rsidRPr="00D26293">
        <w:rPr>
          <w:sz w:val="24"/>
          <w:szCs w:val="24"/>
        </w:rPr>
        <w:t xml:space="preserve">in the Diversity/Equity/Inclusion </w:t>
      </w:r>
      <w:r w:rsidR="00836F40">
        <w:rPr>
          <w:sz w:val="24"/>
          <w:szCs w:val="24"/>
        </w:rPr>
        <w:t xml:space="preserve">(DEI) </w:t>
      </w:r>
      <w:r w:rsidRPr="00D26293">
        <w:rPr>
          <w:sz w:val="24"/>
          <w:szCs w:val="24"/>
        </w:rPr>
        <w:t>Area</w:t>
      </w:r>
    </w:p>
    <w:p w14:paraId="498D03DB" w14:textId="77777777" w:rsidR="00D05EF3" w:rsidRPr="00D26293" w:rsidRDefault="00D05EF3">
      <w:pPr>
        <w:rPr>
          <w:sz w:val="24"/>
          <w:szCs w:val="24"/>
        </w:rPr>
      </w:pPr>
    </w:p>
    <w:p w14:paraId="33F77161" w14:textId="3966986F" w:rsidR="00836F40" w:rsidRDefault="00671127">
      <w:pPr>
        <w:rPr>
          <w:sz w:val="24"/>
          <w:szCs w:val="24"/>
        </w:rPr>
      </w:pPr>
      <w:r w:rsidRPr="00D26293">
        <w:rPr>
          <w:sz w:val="24"/>
          <w:szCs w:val="24"/>
        </w:rPr>
        <w:t>MBA</w:t>
      </w:r>
      <w:r w:rsidR="00D05EF3" w:rsidRPr="00D26293">
        <w:rPr>
          <w:sz w:val="24"/>
          <w:szCs w:val="24"/>
        </w:rPr>
        <w:t xml:space="preserve"> students </w:t>
      </w:r>
      <w:r w:rsidR="00553DEE" w:rsidRPr="00D26293">
        <w:rPr>
          <w:sz w:val="24"/>
          <w:szCs w:val="24"/>
        </w:rPr>
        <w:t>seeking focus</w:t>
      </w:r>
      <w:r w:rsidR="00A15292" w:rsidRPr="00D26293">
        <w:rPr>
          <w:sz w:val="24"/>
          <w:szCs w:val="24"/>
        </w:rPr>
        <w:t>ed</w:t>
      </w:r>
      <w:r w:rsidR="00D05EF3" w:rsidRPr="00D26293">
        <w:rPr>
          <w:sz w:val="24"/>
          <w:szCs w:val="24"/>
        </w:rPr>
        <w:t xml:space="preserve"> coursework </w:t>
      </w:r>
      <w:r w:rsidR="00553DEE" w:rsidRPr="00D26293">
        <w:rPr>
          <w:sz w:val="24"/>
          <w:szCs w:val="24"/>
        </w:rPr>
        <w:t>in</w:t>
      </w:r>
      <w:r w:rsidR="00D05EF3" w:rsidRPr="00D26293">
        <w:rPr>
          <w:sz w:val="24"/>
          <w:szCs w:val="24"/>
        </w:rPr>
        <w:t xml:space="preserve"> creating more diverse, equitable and inclusive workplaces and organizations are encouraged to build an </w:t>
      </w:r>
      <w:hyperlink r:id="rId7" w:history="1">
        <w:r w:rsidR="00D05EF3" w:rsidRPr="00D26293">
          <w:rPr>
            <w:rStyle w:val="Hyperlink"/>
            <w:sz w:val="24"/>
            <w:szCs w:val="24"/>
          </w:rPr>
          <w:t xml:space="preserve">individualized </w:t>
        </w:r>
        <w:r w:rsidRPr="00D26293">
          <w:rPr>
            <w:rStyle w:val="Hyperlink"/>
            <w:sz w:val="24"/>
            <w:szCs w:val="24"/>
          </w:rPr>
          <w:t>m</w:t>
        </w:r>
        <w:r w:rsidRPr="00D26293">
          <w:rPr>
            <w:rStyle w:val="Hyperlink"/>
            <w:sz w:val="24"/>
            <w:szCs w:val="24"/>
          </w:rPr>
          <w:t>ajor</w:t>
        </w:r>
      </w:hyperlink>
      <w:r w:rsidR="00211770" w:rsidRPr="00D26293">
        <w:rPr>
          <w:sz w:val="24"/>
          <w:szCs w:val="24"/>
        </w:rPr>
        <w:t xml:space="preserve"> </w:t>
      </w:r>
      <w:r w:rsidR="006D01EC">
        <w:rPr>
          <w:sz w:val="24"/>
          <w:szCs w:val="24"/>
        </w:rPr>
        <w:t>in this area</w:t>
      </w:r>
      <w:r w:rsidR="001F1822">
        <w:rPr>
          <w:sz w:val="24"/>
          <w:szCs w:val="24"/>
        </w:rPr>
        <w:t xml:space="preserve">. </w:t>
      </w:r>
      <w:r w:rsidR="001F1822" w:rsidRPr="00D26293">
        <w:rPr>
          <w:sz w:val="24"/>
          <w:szCs w:val="24"/>
        </w:rPr>
        <w:t>This document suggests pathways toward a cohesive</w:t>
      </w:r>
      <w:r w:rsidR="00CA595D">
        <w:rPr>
          <w:sz w:val="24"/>
          <w:szCs w:val="24"/>
        </w:rPr>
        <w:t xml:space="preserve"> </w:t>
      </w:r>
      <w:hyperlink r:id="rId8" w:history="1">
        <w:r w:rsidR="00CA595D" w:rsidRPr="00CA595D">
          <w:rPr>
            <w:rStyle w:val="Hyperlink"/>
            <w:sz w:val="24"/>
            <w:szCs w:val="24"/>
          </w:rPr>
          <w:t xml:space="preserve">individualized </w:t>
        </w:r>
        <w:r w:rsidR="00CA595D" w:rsidRPr="00CA595D">
          <w:rPr>
            <w:rStyle w:val="Hyperlink"/>
            <w:sz w:val="24"/>
            <w:szCs w:val="24"/>
          </w:rPr>
          <w:t>m</w:t>
        </w:r>
        <w:r w:rsidR="00CA595D" w:rsidRPr="00CA595D">
          <w:rPr>
            <w:rStyle w:val="Hyperlink"/>
            <w:sz w:val="24"/>
            <w:szCs w:val="24"/>
          </w:rPr>
          <w:t>ajor p</w:t>
        </w:r>
        <w:r w:rsidR="00CA595D" w:rsidRPr="00CA595D">
          <w:rPr>
            <w:rStyle w:val="Hyperlink"/>
            <w:sz w:val="24"/>
            <w:szCs w:val="24"/>
          </w:rPr>
          <w:t>r</w:t>
        </w:r>
        <w:r w:rsidR="00CA595D" w:rsidRPr="00CA595D">
          <w:rPr>
            <w:rStyle w:val="Hyperlink"/>
            <w:sz w:val="24"/>
            <w:szCs w:val="24"/>
          </w:rPr>
          <w:t>oposal</w:t>
        </w:r>
      </w:hyperlink>
      <w:r w:rsidR="001F1822" w:rsidRPr="00D26293">
        <w:rPr>
          <w:sz w:val="24"/>
          <w:szCs w:val="24"/>
        </w:rPr>
        <w:t xml:space="preserve">, which must be ultimately approved by a Faculty Advisor and the MBA Program Office. </w:t>
      </w:r>
    </w:p>
    <w:p w14:paraId="41D9C9BE" w14:textId="00BF0923" w:rsidR="00D05EF3" w:rsidRPr="00D26293" w:rsidRDefault="00836F4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F1822">
        <w:rPr>
          <w:sz w:val="24"/>
          <w:szCs w:val="24"/>
        </w:rPr>
        <w:t xml:space="preserve">Wharton core courses </w:t>
      </w:r>
      <w:r>
        <w:rPr>
          <w:sz w:val="24"/>
          <w:szCs w:val="24"/>
        </w:rPr>
        <w:t xml:space="preserve">of MGMT 610, </w:t>
      </w:r>
      <w:r w:rsidR="001F1822">
        <w:rPr>
          <w:sz w:val="24"/>
          <w:szCs w:val="24"/>
        </w:rPr>
        <w:t xml:space="preserve">MGMT 611, MGMT 612 </w:t>
      </w:r>
      <w:r>
        <w:rPr>
          <w:sz w:val="24"/>
          <w:szCs w:val="24"/>
        </w:rPr>
        <w:t>and</w:t>
      </w:r>
      <w:r w:rsidR="001F1822">
        <w:rPr>
          <w:sz w:val="24"/>
          <w:szCs w:val="24"/>
        </w:rPr>
        <w:t xml:space="preserve"> MGMT 613 (WEMBA only)</w:t>
      </w:r>
      <w:r>
        <w:rPr>
          <w:sz w:val="24"/>
          <w:szCs w:val="24"/>
        </w:rPr>
        <w:t xml:space="preserve"> all contain content relevant to this area. Per individualized major policy, at most 1.0 credit unit of core coursework may be </w:t>
      </w:r>
      <w:r w:rsidR="00E12893">
        <w:rPr>
          <w:sz w:val="24"/>
          <w:szCs w:val="24"/>
        </w:rPr>
        <w:t>counted toward the</w:t>
      </w:r>
      <w:r w:rsidR="006D01EC">
        <w:rPr>
          <w:sz w:val="24"/>
          <w:szCs w:val="24"/>
        </w:rPr>
        <w:t xml:space="preserve"> </w:t>
      </w:r>
      <w:r w:rsidR="00E12893">
        <w:rPr>
          <w:sz w:val="24"/>
          <w:szCs w:val="24"/>
        </w:rPr>
        <w:t>5.0 cu</w:t>
      </w:r>
      <w:r w:rsidR="006D01EC">
        <w:rPr>
          <w:sz w:val="24"/>
          <w:szCs w:val="24"/>
        </w:rPr>
        <w:t xml:space="preserve"> minimum</w:t>
      </w:r>
      <w:r>
        <w:rPr>
          <w:sz w:val="24"/>
          <w:szCs w:val="24"/>
        </w:rPr>
        <w:t xml:space="preserve">, and </w:t>
      </w:r>
      <w:r w:rsidR="001F1822">
        <w:rPr>
          <w:sz w:val="24"/>
          <w:szCs w:val="24"/>
        </w:rPr>
        <w:t xml:space="preserve">then 4.0 additional credit units </w:t>
      </w:r>
      <w:r w:rsidR="00211770" w:rsidRPr="00D26293">
        <w:rPr>
          <w:sz w:val="24"/>
          <w:szCs w:val="24"/>
        </w:rPr>
        <w:t>beyond the Wharton core</w:t>
      </w:r>
      <w:r w:rsidR="001F1822">
        <w:rPr>
          <w:sz w:val="24"/>
          <w:szCs w:val="24"/>
        </w:rPr>
        <w:t xml:space="preserve"> are required</w:t>
      </w:r>
      <w:r w:rsidR="00211770" w:rsidRPr="00D26293">
        <w:rPr>
          <w:sz w:val="24"/>
          <w:szCs w:val="24"/>
        </w:rPr>
        <w:t xml:space="preserve">. </w:t>
      </w:r>
    </w:p>
    <w:p w14:paraId="5B1D480D" w14:textId="77777777" w:rsidR="00D05EF3" w:rsidRPr="00D26293" w:rsidRDefault="00D05EF3">
      <w:pPr>
        <w:rPr>
          <w:sz w:val="24"/>
          <w:szCs w:val="24"/>
        </w:rPr>
      </w:pPr>
      <w:r w:rsidRPr="00D26293">
        <w:rPr>
          <w:sz w:val="24"/>
          <w:szCs w:val="24"/>
        </w:rPr>
        <w:t xml:space="preserve">Three courses, totaling 2.0 credit units, offer </w:t>
      </w:r>
      <w:r w:rsidR="002A7D42" w:rsidRPr="00836F40">
        <w:rPr>
          <w:sz w:val="24"/>
          <w:szCs w:val="24"/>
        </w:rPr>
        <w:t>strongly recommended</w:t>
      </w:r>
      <w:r w:rsidR="002A7D42" w:rsidRPr="00D26293">
        <w:rPr>
          <w:sz w:val="24"/>
          <w:szCs w:val="24"/>
        </w:rPr>
        <w:t xml:space="preserve"> </w:t>
      </w:r>
      <w:r w:rsidRPr="00D26293">
        <w:rPr>
          <w:sz w:val="24"/>
          <w:szCs w:val="24"/>
        </w:rPr>
        <w:t>foundational conten</w:t>
      </w:r>
      <w:r w:rsidR="00553DEE" w:rsidRPr="00D26293">
        <w:rPr>
          <w:sz w:val="24"/>
          <w:szCs w:val="24"/>
        </w:rPr>
        <w:t>t</w:t>
      </w:r>
      <w:r w:rsidRPr="00D26293">
        <w:rPr>
          <w:sz w:val="24"/>
          <w:szCs w:val="24"/>
        </w:rPr>
        <w:t>:</w:t>
      </w:r>
    </w:p>
    <w:p w14:paraId="0D620640" w14:textId="2814C48D" w:rsidR="00D05EF3" w:rsidRPr="00D26293" w:rsidRDefault="00D05EF3" w:rsidP="00D05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 xml:space="preserve">BEPP </w:t>
      </w:r>
      <w:r w:rsidR="00402C1D" w:rsidRPr="00D26293">
        <w:rPr>
          <w:sz w:val="24"/>
          <w:szCs w:val="24"/>
        </w:rPr>
        <w:t>7</w:t>
      </w:r>
      <w:r w:rsidRPr="00D26293">
        <w:rPr>
          <w:sz w:val="24"/>
          <w:szCs w:val="24"/>
        </w:rPr>
        <w:t>65</w:t>
      </w:r>
      <w:r w:rsidRPr="00D26293">
        <w:rPr>
          <w:sz w:val="24"/>
          <w:szCs w:val="24"/>
        </w:rPr>
        <w:tab/>
      </w:r>
      <w:r w:rsidR="0069696A">
        <w:rPr>
          <w:sz w:val="24"/>
          <w:szCs w:val="24"/>
        </w:rPr>
        <w:t>The Economics of Diversity</w:t>
      </w:r>
    </w:p>
    <w:p w14:paraId="04966B78" w14:textId="3FC527B8" w:rsidR="00553DEE" w:rsidRPr="00D26293" w:rsidRDefault="00553DEE" w:rsidP="00D05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 xml:space="preserve">LGST </w:t>
      </w:r>
      <w:r w:rsidR="00402C1D" w:rsidRPr="00D26293">
        <w:rPr>
          <w:sz w:val="24"/>
          <w:szCs w:val="24"/>
        </w:rPr>
        <w:t>6</w:t>
      </w:r>
      <w:r w:rsidRPr="00D26293">
        <w:rPr>
          <w:sz w:val="24"/>
          <w:szCs w:val="24"/>
        </w:rPr>
        <w:t>42</w:t>
      </w:r>
      <w:r w:rsidRPr="00D26293">
        <w:rPr>
          <w:sz w:val="24"/>
          <w:szCs w:val="24"/>
        </w:rPr>
        <w:tab/>
        <w:t xml:space="preserve">Big Data, Big Responsibilities </w:t>
      </w:r>
    </w:p>
    <w:p w14:paraId="19A58023" w14:textId="09919729" w:rsidR="00553DEE" w:rsidRPr="00D26293" w:rsidRDefault="00553DEE" w:rsidP="00D05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 xml:space="preserve">MGMT </w:t>
      </w:r>
      <w:r w:rsidR="00402C1D" w:rsidRPr="00D26293">
        <w:rPr>
          <w:sz w:val="24"/>
          <w:szCs w:val="24"/>
        </w:rPr>
        <w:t>6</w:t>
      </w:r>
      <w:r w:rsidRPr="00D26293">
        <w:rPr>
          <w:sz w:val="24"/>
          <w:szCs w:val="24"/>
        </w:rPr>
        <w:t>24</w:t>
      </w:r>
      <w:r w:rsidRPr="00D26293">
        <w:rPr>
          <w:sz w:val="24"/>
          <w:szCs w:val="24"/>
        </w:rPr>
        <w:tab/>
        <w:t xml:space="preserve">Leading Diversity in Organizations </w:t>
      </w:r>
    </w:p>
    <w:p w14:paraId="7D317243" w14:textId="3B6BA77D" w:rsidR="00553DEE" w:rsidRPr="00D26293" w:rsidRDefault="008F1DD3" w:rsidP="00553DEE">
      <w:pPr>
        <w:rPr>
          <w:sz w:val="24"/>
          <w:szCs w:val="24"/>
        </w:rPr>
      </w:pPr>
      <w:r w:rsidRPr="00D26293">
        <w:rPr>
          <w:sz w:val="24"/>
          <w:szCs w:val="24"/>
        </w:rPr>
        <w:t>At least 2.0 credit units will be selected from s</w:t>
      </w:r>
      <w:r w:rsidR="00553DEE" w:rsidRPr="00D26293">
        <w:rPr>
          <w:sz w:val="24"/>
          <w:szCs w:val="24"/>
        </w:rPr>
        <w:t xml:space="preserve">upplementary courses </w:t>
      </w:r>
      <w:r w:rsidRPr="00D26293">
        <w:rPr>
          <w:sz w:val="24"/>
          <w:szCs w:val="24"/>
        </w:rPr>
        <w:t>that</w:t>
      </w:r>
      <w:r w:rsidR="00553DEE" w:rsidRPr="00D26293">
        <w:rPr>
          <w:sz w:val="24"/>
          <w:szCs w:val="24"/>
        </w:rPr>
        <w:t xml:space="preserve"> address complementary skills and techniques </w:t>
      </w:r>
      <w:r w:rsidRPr="00D26293">
        <w:rPr>
          <w:sz w:val="24"/>
          <w:szCs w:val="24"/>
        </w:rPr>
        <w:t>to</w:t>
      </w:r>
      <w:r w:rsidR="00553DEE" w:rsidRPr="00D26293">
        <w:rPr>
          <w:sz w:val="24"/>
          <w:szCs w:val="24"/>
        </w:rPr>
        <w:t xml:space="preserve"> build a manager’s </w:t>
      </w:r>
      <w:r w:rsidR="00836F40">
        <w:rPr>
          <w:sz w:val="24"/>
          <w:szCs w:val="24"/>
        </w:rPr>
        <w:t>DEI</w:t>
      </w:r>
      <w:r w:rsidRPr="00D26293">
        <w:rPr>
          <w:sz w:val="24"/>
          <w:szCs w:val="24"/>
        </w:rPr>
        <w:t xml:space="preserve"> </w:t>
      </w:r>
      <w:r w:rsidR="00553DEE" w:rsidRPr="00D26293">
        <w:rPr>
          <w:sz w:val="24"/>
          <w:szCs w:val="24"/>
        </w:rPr>
        <w:t>toolkit:</w:t>
      </w:r>
    </w:p>
    <w:p w14:paraId="6CF97357" w14:textId="0D9D496C" w:rsidR="00553DEE" w:rsidRPr="00D26293" w:rsidRDefault="00553DEE" w:rsidP="00553D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 xml:space="preserve">LGST </w:t>
      </w:r>
      <w:r w:rsidR="00402C1D" w:rsidRPr="00D26293">
        <w:rPr>
          <w:sz w:val="24"/>
          <w:szCs w:val="24"/>
        </w:rPr>
        <w:t>8</w:t>
      </w:r>
      <w:r w:rsidRPr="00D26293">
        <w:rPr>
          <w:sz w:val="24"/>
          <w:szCs w:val="24"/>
        </w:rPr>
        <w:t>08</w:t>
      </w:r>
      <w:r w:rsidRPr="00D26293">
        <w:rPr>
          <w:sz w:val="24"/>
          <w:szCs w:val="24"/>
        </w:rPr>
        <w:tab/>
      </w:r>
      <w:r w:rsidR="00EF57D7" w:rsidRPr="00D26293">
        <w:rPr>
          <w:sz w:val="24"/>
          <w:szCs w:val="24"/>
        </w:rPr>
        <w:t>Law at Work</w:t>
      </w:r>
    </w:p>
    <w:p w14:paraId="2765670B" w14:textId="409DC4ED" w:rsidR="00EF57D7" w:rsidRPr="00D26293" w:rsidRDefault="00EF57D7" w:rsidP="00553D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 xml:space="preserve">MGMT </w:t>
      </w:r>
      <w:r w:rsidR="00402C1D" w:rsidRPr="00D26293">
        <w:rPr>
          <w:sz w:val="24"/>
          <w:szCs w:val="24"/>
        </w:rPr>
        <w:t>6</w:t>
      </w:r>
      <w:r w:rsidRPr="00D26293">
        <w:rPr>
          <w:sz w:val="24"/>
          <w:szCs w:val="24"/>
        </w:rPr>
        <w:t>91</w:t>
      </w:r>
      <w:r w:rsidRPr="00D26293">
        <w:rPr>
          <w:sz w:val="24"/>
          <w:szCs w:val="24"/>
        </w:rPr>
        <w:tab/>
        <w:t xml:space="preserve">Negotiations (cross-listed with LGST </w:t>
      </w:r>
      <w:r w:rsidR="00402C1D" w:rsidRPr="00D26293">
        <w:rPr>
          <w:sz w:val="24"/>
          <w:szCs w:val="24"/>
        </w:rPr>
        <w:t>8</w:t>
      </w:r>
      <w:r w:rsidRPr="00D26293">
        <w:rPr>
          <w:sz w:val="24"/>
          <w:szCs w:val="24"/>
        </w:rPr>
        <w:t xml:space="preserve">06 and OIDD </w:t>
      </w:r>
      <w:r w:rsidR="00402C1D" w:rsidRPr="00D26293">
        <w:rPr>
          <w:sz w:val="24"/>
          <w:szCs w:val="24"/>
        </w:rPr>
        <w:t>6</w:t>
      </w:r>
      <w:r w:rsidRPr="00D26293">
        <w:rPr>
          <w:sz w:val="24"/>
          <w:szCs w:val="24"/>
        </w:rPr>
        <w:t>91)</w:t>
      </w:r>
    </w:p>
    <w:p w14:paraId="2ECC155B" w14:textId="77777777" w:rsidR="00D26293" w:rsidRPr="00D26293" w:rsidRDefault="00D26293" w:rsidP="00D26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>MGMT 772</w:t>
      </w:r>
      <w:r w:rsidRPr="00D26293">
        <w:rPr>
          <w:sz w:val="24"/>
          <w:szCs w:val="24"/>
        </w:rPr>
        <w:tab/>
        <w:t>Power and Politics in Organizations (0.5 cu)</w:t>
      </w:r>
    </w:p>
    <w:p w14:paraId="7F9880ED" w14:textId="31AF3232" w:rsidR="006A7689" w:rsidRPr="00D26293" w:rsidRDefault="006A7689" w:rsidP="00553D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>MGMT 773</w:t>
      </w:r>
      <w:r w:rsidRPr="00D26293">
        <w:rPr>
          <w:sz w:val="24"/>
          <w:szCs w:val="24"/>
        </w:rPr>
        <w:tab/>
        <w:t>Managing Organizational Change (WEMBA only)</w:t>
      </w:r>
    </w:p>
    <w:p w14:paraId="76E5E6C1" w14:textId="0F46E74E" w:rsidR="00553DEE" w:rsidRPr="00D26293" w:rsidRDefault="00553DEE" w:rsidP="00553D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 xml:space="preserve">MGMT </w:t>
      </w:r>
      <w:r w:rsidR="00402C1D" w:rsidRPr="00D26293">
        <w:rPr>
          <w:sz w:val="24"/>
          <w:szCs w:val="24"/>
        </w:rPr>
        <w:t>79</w:t>
      </w:r>
      <w:r w:rsidRPr="00D26293">
        <w:rPr>
          <w:sz w:val="24"/>
          <w:szCs w:val="24"/>
        </w:rPr>
        <w:t>3</w:t>
      </w:r>
      <w:r w:rsidRPr="00D26293">
        <w:rPr>
          <w:sz w:val="24"/>
          <w:szCs w:val="24"/>
        </w:rPr>
        <w:tab/>
        <w:t>People Analytics</w:t>
      </w:r>
      <w:r w:rsidR="00402C1D" w:rsidRPr="00D26293">
        <w:rPr>
          <w:sz w:val="24"/>
          <w:szCs w:val="24"/>
        </w:rPr>
        <w:t xml:space="preserve"> (0.5 cu)</w:t>
      </w:r>
    </w:p>
    <w:p w14:paraId="2E245A34" w14:textId="76FE0B3F" w:rsidR="006A7689" w:rsidRPr="00D26293" w:rsidRDefault="006A7689" w:rsidP="00553D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 xml:space="preserve">MGMT 794 </w:t>
      </w:r>
      <w:r w:rsidRPr="00D26293">
        <w:rPr>
          <w:sz w:val="24"/>
          <w:szCs w:val="24"/>
        </w:rPr>
        <w:tab/>
        <w:t>Understanding Careers</w:t>
      </w:r>
      <w:r w:rsidR="00D26293">
        <w:rPr>
          <w:sz w:val="24"/>
          <w:szCs w:val="24"/>
        </w:rPr>
        <w:t xml:space="preserve"> (0.5 cu)</w:t>
      </w:r>
    </w:p>
    <w:p w14:paraId="4FA3E55D" w14:textId="170C07AD" w:rsidR="00B758AD" w:rsidRPr="00D26293" w:rsidRDefault="00B758AD" w:rsidP="00B75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 xml:space="preserve">OIDD </w:t>
      </w:r>
      <w:r>
        <w:rPr>
          <w:sz w:val="24"/>
          <w:szCs w:val="24"/>
        </w:rPr>
        <w:t>690</w:t>
      </w:r>
      <w:r w:rsidRPr="00D26293">
        <w:rPr>
          <w:sz w:val="24"/>
          <w:szCs w:val="24"/>
        </w:rPr>
        <w:tab/>
      </w:r>
      <w:r>
        <w:rPr>
          <w:sz w:val="24"/>
          <w:szCs w:val="24"/>
        </w:rPr>
        <w:t>Managerial Decision Making</w:t>
      </w:r>
    </w:p>
    <w:p w14:paraId="4692D525" w14:textId="677E86AA" w:rsidR="00402C1D" w:rsidRPr="00D26293" w:rsidRDefault="00402C1D" w:rsidP="00553D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6293">
        <w:rPr>
          <w:sz w:val="24"/>
          <w:szCs w:val="24"/>
        </w:rPr>
        <w:t>OIDD 693</w:t>
      </w:r>
      <w:r w:rsidRPr="00D26293">
        <w:rPr>
          <w:sz w:val="24"/>
          <w:szCs w:val="24"/>
        </w:rPr>
        <w:tab/>
        <w:t>Influence</w:t>
      </w:r>
    </w:p>
    <w:p w14:paraId="73611691" w14:textId="658EC887" w:rsidR="008F1DD3" w:rsidRPr="00D26293" w:rsidRDefault="008F1DD3" w:rsidP="004A36EF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D26293">
        <w:rPr>
          <w:sz w:val="24"/>
          <w:szCs w:val="24"/>
        </w:rPr>
        <w:t xml:space="preserve">No more than </w:t>
      </w:r>
      <w:r w:rsidR="00553DEE" w:rsidRPr="00D26293">
        <w:rPr>
          <w:sz w:val="24"/>
          <w:szCs w:val="24"/>
        </w:rPr>
        <w:t xml:space="preserve">1 cu of </w:t>
      </w:r>
      <w:r w:rsidR="00402C1D" w:rsidRPr="00D26293">
        <w:rPr>
          <w:sz w:val="24"/>
          <w:szCs w:val="24"/>
        </w:rPr>
        <w:t xml:space="preserve">non-Wharton </w:t>
      </w:r>
      <w:r w:rsidR="00211770" w:rsidRPr="00D26293">
        <w:rPr>
          <w:rFonts w:eastAsia="Times New Roman" w:cstheme="minorHAnsi"/>
          <w:sz w:val="24"/>
          <w:szCs w:val="24"/>
        </w:rPr>
        <w:t xml:space="preserve">coursework focused broadly </w:t>
      </w:r>
      <w:r w:rsidR="00836F40">
        <w:rPr>
          <w:rFonts w:eastAsia="Times New Roman" w:cstheme="minorHAnsi"/>
          <w:sz w:val="24"/>
          <w:szCs w:val="24"/>
        </w:rPr>
        <w:t>in the DEI space</w:t>
      </w:r>
      <w:r w:rsidR="00211770" w:rsidRPr="00D26293">
        <w:rPr>
          <w:rFonts w:eastAsia="Times New Roman" w:cstheme="minorHAnsi"/>
          <w:sz w:val="24"/>
          <w:szCs w:val="24"/>
        </w:rPr>
        <w:t xml:space="preserve"> (e.g., anthropology, cultural/diaspora-related studies, gender, sexuality, and women’s studies, history, international relations, psychology, religious studies, sociology)</w:t>
      </w:r>
      <w:r w:rsidRPr="00D26293">
        <w:rPr>
          <w:rFonts w:eastAsia="Times New Roman" w:cstheme="minorHAnsi"/>
          <w:sz w:val="24"/>
          <w:szCs w:val="24"/>
        </w:rPr>
        <w:t xml:space="preserve"> </w:t>
      </w:r>
    </w:p>
    <w:p w14:paraId="403856F8" w14:textId="68CAF458" w:rsidR="008F1DD3" w:rsidRPr="00D26293" w:rsidRDefault="008F1DD3" w:rsidP="008F1DD3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D26293">
        <w:rPr>
          <w:rFonts w:eastAsia="Times New Roman" w:cstheme="minorHAnsi"/>
          <w:sz w:val="24"/>
          <w:szCs w:val="24"/>
        </w:rPr>
        <w:t xml:space="preserve">No more than 1 cu </w:t>
      </w:r>
      <w:r w:rsidR="00836F40">
        <w:rPr>
          <w:rFonts w:eastAsia="Times New Roman" w:cstheme="minorHAnsi"/>
          <w:sz w:val="24"/>
          <w:szCs w:val="24"/>
        </w:rPr>
        <w:t>total from</w:t>
      </w:r>
      <w:r w:rsidRPr="00D26293">
        <w:rPr>
          <w:rFonts w:eastAsia="Times New Roman" w:cstheme="minorHAnsi"/>
          <w:sz w:val="24"/>
          <w:szCs w:val="24"/>
        </w:rPr>
        <w:t xml:space="preserve"> Global Modular Courses, Global Virtual Courses, Advanced Study Program and/or Independent Studies with significantly related content</w:t>
      </w:r>
    </w:p>
    <w:p w14:paraId="413809E1" w14:textId="77777777" w:rsidR="00CA595D" w:rsidRDefault="00CA595D" w:rsidP="00211770">
      <w:pPr>
        <w:rPr>
          <w:sz w:val="24"/>
          <w:szCs w:val="24"/>
        </w:rPr>
      </w:pPr>
    </w:p>
    <w:p w14:paraId="0AEE481B" w14:textId="1F4550C3" w:rsidR="00D05EF3" w:rsidRPr="00D26293" w:rsidRDefault="00D05EF3" w:rsidP="00211770">
      <w:pPr>
        <w:rPr>
          <w:sz w:val="24"/>
          <w:szCs w:val="24"/>
        </w:rPr>
      </w:pPr>
      <w:r w:rsidRPr="00D26293">
        <w:rPr>
          <w:sz w:val="24"/>
          <w:szCs w:val="24"/>
        </w:rPr>
        <w:t>For inquiries, contact</w:t>
      </w:r>
      <w:r w:rsidR="0069696A">
        <w:rPr>
          <w:sz w:val="24"/>
          <w:szCs w:val="24"/>
        </w:rPr>
        <w:t xml:space="preserve"> Dr. Sara Jane McCaffrey</w:t>
      </w:r>
      <w:r w:rsidRPr="00D26293">
        <w:rPr>
          <w:sz w:val="24"/>
          <w:szCs w:val="24"/>
        </w:rPr>
        <w:t xml:space="preserve">, </w:t>
      </w:r>
      <w:hyperlink r:id="rId9" w:history="1">
        <w:proofErr w:type="gramStart"/>
        <w:r w:rsidR="0069696A" w:rsidRPr="000D5162">
          <w:rPr>
            <w:rStyle w:val="Hyperlink"/>
            <w:sz w:val="24"/>
            <w:szCs w:val="24"/>
          </w:rPr>
          <w:t>mcsa@wharton.upenn.edu</w:t>
        </w:r>
      </w:hyperlink>
      <w:r w:rsidR="0069696A">
        <w:rPr>
          <w:sz w:val="24"/>
          <w:szCs w:val="24"/>
        </w:rPr>
        <w:t xml:space="preserve"> ,</w:t>
      </w:r>
      <w:r w:rsidRPr="00D26293">
        <w:rPr>
          <w:sz w:val="24"/>
          <w:szCs w:val="24"/>
        </w:rPr>
        <w:t>Manage</w:t>
      </w:r>
      <w:r w:rsidR="00CA595D">
        <w:rPr>
          <w:sz w:val="24"/>
          <w:szCs w:val="24"/>
        </w:rPr>
        <w:t>ment</w:t>
      </w:r>
      <w:proofErr w:type="gramEnd"/>
      <w:r w:rsidR="00CA595D">
        <w:rPr>
          <w:sz w:val="24"/>
          <w:szCs w:val="24"/>
        </w:rPr>
        <w:t xml:space="preserve"> </w:t>
      </w:r>
      <w:bookmarkStart w:id="0" w:name="_GoBack"/>
      <w:bookmarkEnd w:id="0"/>
      <w:r w:rsidR="00CA595D">
        <w:rPr>
          <w:sz w:val="24"/>
          <w:szCs w:val="24"/>
        </w:rPr>
        <w:t>Department Faculty Advisor</w:t>
      </w:r>
      <w:r w:rsidR="0069696A">
        <w:rPr>
          <w:sz w:val="24"/>
          <w:szCs w:val="24"/>
        </w:rPr>
        <w:t>.</w:t>
      </w:r>
    </w:p>
    <w:p w14:paraId="1940FF00" w14:textId="53C09C9F" w:rsidR="00D26293" w:rsidRPr="00D26293" w:rsidRDefault="00D26293" w:rsidP="00211770">
      <w:pPr>
        <w:rPr>
          <w:sz w:val="20"/>
          <w:szCs w:val="20"/>
        </w:rPr>
      </w:pPr>
    </w:p>
    <w:sectPr w:rsidR="00D26293" w:rsidRPr="00D262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65CC" w14:textId="77777777" w:rsidR="00D91711" w:rsidRDefault="00D91711" w:rsidP="00D26293">
      <w:pPr>
        <w:spacing w:after="0" w:line="240" w:lineRule="auto"/>
      </w:pPr>
      <w:r>
        <w:separator/>
      </w:r>
    </w:p>
  </w:endnote>
  <w:endnote w:type="continuationSeparator" w:id="0">
    <w:p w14:paraId="58FC183A" w14:textId="77777777" w:rsidR="00D91711" w:rsidRDefault="00D91711" w:rsidP="00D2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CAD7" w14:textId="77777777" w:rsidR="00D26293" w:rsidRDefault="00D26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4955" w14:textId="77777777" w:rsidR="00D26293" w:rsidRDefault="00D26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966A" w14:textId="77777777" w:rsidR="00D26293" w:rsidRDefault="00D2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EBA4" w14:textId="77777777" w:rsidR="00D91711" w:rsidRDefault="00D91711" w:rsidP="00D26293">
      <w:pPr>
        <w:spacing w:after="0" w:line="240" w:lineRule="auto"/>
      </w:pPr>
      <w:r>
        <w:separator/>
      </w:r>
    </w:p>
  </w:footnote>
  <w:footnote w:type="continuationSeparator" w:id="0">
    <w:p w14:paraId="192EA590" w14:textId="77777777" w:rsidR="00D91711" w:rsidRDefault="00D91711" w:rsidP="00D2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9BDC" w14:textId="77777777" w:rsidR="00D26293" w:rsidRDefault="00D26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7288" w14:textId="7DE53EF1" w:rsidR="00D26293" w:rsidRDefault="00D26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292B" w14:textId="77777777" w:rsidR="00D26293" w:rsidRDefault="00D26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3AB8"/>
    <w:multiLevelType w:val="hybridMultilevel"/>
    <w:tmpl w:val="A3963D4C"/>
    <w:lvl w:ilvl="0" w:tplc="4ABED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9F7"/>
    <w:multiLevelType w:val="hybridMultilevel"/>
    <w:tmpl w:val="04B024DA"/>
    <w:lvl w:ilvl="0" w:tplc="AB7EA8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F3"/>
    <w:rsid w:val="000F3D89"/>
    <w:rsid w:val="00106503"/>
    <w:rsid w:val="001F1822"/>
    <w:rsid w:val="00211770"/>
    <w:rsid w:val="002A7D42"/>
    <w:rsid w:val="003853C5"/>
    <w:rsid w:val="00402C1D"/>
    <w:rsid w:val="00553DEE"/>
    <w:rsid w:val="005C6A0C"/>
    <w:rsid w:val="00671127"/>
    <w:rsid w:val="0069696A"/>
    <w:rsid w:val="006A7689"/>
    <w:rsid w:val="006D01EC"/>
    <w:rsid w:val="006D3C66"/>
    <w:rsid w:val="007F3DD1"/>
    <w:rsid w:val="00836F40"/>
    <w:rsid w:val="00884843"/>
    <w:rsid w:val="008C73FA"/>
    <w:rsid w:val="008F1DD3"/>
    <w:rsid w:val="00935D64"/>
    <w:rsid w:val="009760CC"/>
    <w:rsid w:val="00A1105A"/>
    <w:rsid w:val="00A15292"/>
    <w:rsid w:val="00B31D8E"/>
    <w:rsid w:val="00B758AD"/>
    <w:rsid w:val="00CA595D"/>
    <w:rsid w:val="00D05EF3"/>
    <w:rsid w:val="00D26293"/>
    <w:rsid w:val="00D91711"/>
    <w:rsid w:val="00E12893"/>
    <w:rsid w:val="00E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695FD"/>
  <w15:chartTrackingRefBased/>
  <w15:docId w15:val="{1CF5D89F-04A4-4FD1-9659-51FB858B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E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E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7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D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93"/>
  </w:style>
  <w:style w:type="paragraph" w:styleId="Footer">
    <w:name w:val="footer"/>
    <w:basedOn w:val="Normal"/>
    <w:link w:val="FooterChar"/>
    <w:uiPriority w:val="99"/>
    <w:unhideWhenUsed/>
    <w:rsid w:val="00D26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a-inside.wharton.upenn.edu/wp-content/uploads/2014/12/INDM_approval_201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ba-inside.wharton.upenn.edu/individualized-majo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sa@wharton.upenn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Rosenkopf</dc:creator>
  <cp:keywords/>
  <dc:description/>
  <cp:lastModifiedBy>McCaffrey, Sara Jane</cp:lastModifiedBy>
  <cp:revision>2</cp:revision>
  <dcterms:created xsi:type="dcterms:W3CDTF">2022-01-31T13:01:00Z</dcterms:created>
  <dcterms:modified xsi:type="dcterms:W3CDTF">2022-01-31T13:01:00Z</dcterms:modified>
</cp:coreProperties>
</file>